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A22F" w14:textId="77777777" w:rsidR="00D472DD" w:rsidRDefault="00D472DD" w:rsidP="00D472DD">
      <w:pPr>
        <w:spacing w:before="300" w:after="150" w:line="900" w:lineRule="atLeast"/>
        <w:jc w:val="center"/>
        <w:outlineLvl w:val="0"/>
        <w:rPr>
          <w:rFonts w:ascii="Arial" w:eastAsia="Times New Roman" w:hAnsi="Arial" w:cs="Arial"/>
          <w:b/>
          <w:bCs/>
          <w:color w:val="FF0000"/>
          <w:kern w:val="36"/>
          <w:sz w:val="28"/>
          <w:szCs w:val="28"/>
          <w:lang w:eastAsia="fr-FR"/>
        </w:rPr>
      </w:pPr>
      <w:r w:rsidRPr="00D472DD">
        <w:rPr>
          <w:rFonts w:ascii="Arial" w:eastAsia="Times New Roman" w:hAnsi="Arial" w:cs="Arial"/>
          <w:b/>
          <w:bCs/>
          <w:color w:val="FF0000"/>
          <w:kern w:val="36"/>
          <w:sz w:val="28"/>
          <w:szCs w:val="28"/>
          <w:lang w:eastAsia="fr-FR"/>
        </w:rPr>
        <w:t>Primes des fonctionnaires :</w:t>
      </w:r>
    </w:p>
    <w:p w14:paraId="3E9A1EF4" w14:textId="77DA8E0F" w:rsidR="00D472DD" w:rsidRDefault="00D472DD" w:rsidP="00D472DD">
      <w:pPr>
        <w:spacing w:before="300" w:after="150" w:line="900" w:lineRule="atLeast"/>
        <w:jc w:val="center"/>
        <w:outlineLvl w:val="0"/>
        <w:rPr>
          <w:rFonts w:ascii="Arial" w:eastAsia="Times New Roman" w:hAnsi="Arial" w:cs="Arial"/>
          <w:b/>
          <w:bCs/>
          <w:color w:val="FF0000"/>
          <w:kern w:val="36"/>
          <w:sz w:val="28"/>
          <w:szCs w:val="28"/>
          <w:lang w:eastAsia="fr-FR"/>
        </w:rPr>
      </w:pPr>
      <w:r w:rsidRPr="00D472DD">
        <w:rPr>
          <w:rFonts w:ascii="Arial" w:eastAsia="Times New Roman" w:hAnsi="Arial" w:cs="Arial"/>
          <w:b/>
          <w:bCs/>
          <w:color w:val="FF0000"/>
          <w:kern w:val="36"/>
          <w:sz w:val="28"/>
          <w:szCs w:val="28"/>
          <w:lang w:eastAsia="fr-FR"/>
        </w:rPr>
        <w:t xml:space="preserve">le </w:t>
      </w:r>
      <w:proofErr w:type="spellStart"/>
      <w:r w:rsidRPr="00D472DD">
        <w:rPr>
          <w:rFonts w:ascii="Arial" w:eastAsia="Times New Roman" w:hAnsi="Arial" w:cs="Arial"/>
          <w:b/>
          <w:bCs/>
          <w:color w:val="FF0000"/>
          <w:kern w:val="36"/>
          <w:sz w:val="28"/>
          <w:szCs w:val="28"/>
          <w:lang w:eastAsia="fr-FR"/>
        </w:rPr>
        <w:t>Rifseep</w:t>
      </w:r>
      <w:proofErr w:type="spellEnd"/>
      <w:r w:rsidRPr="00D472DD">
        <w:rPr>
          <w:rFonts w:ascii="Arial" w:eastAsia="Times New Roman" w:hAnsi="Arial" w:cs="Arial"/>
          <w:b/>
          <w:bCs/>
          <w:color w:val="FF0000"/>
          <w:kern w:val="36"/>
          <w:sz w:val="28"/>
          <w:szCs w:val="28"/>
          <w:lang w:eastAsia="fr-FR"/>
        </w:rPr>
        <w:t xml:space="preserve"> ne peut pas être modulé en fonction de l’assiduité</w:t>
      </w:r>
    </w:p>
    <w:p w14:paraId="1688BD01" w14:textId="77777777" w:rsidR="00D472DD" w:rsidRPr="00D472DD" w:rsidRDefault="00D472DD" w:rsidP="00D472DD">
      <w:pPr>
        <w:spacing w:before="300" w:after="150" w:line="900" w:lineRule="atLeast"/>
        <w:jc w:val="center"/>
        <w:outlineLvl w:val="0"/>
        <w:rPr>
          <w:rFonts w:ascii="Arial" w:eastAsia="Times New Roman" w:hAnsi="Arial" w:cs="Arial"/>
          <w:b/>
          <w:bCs/>
          <w:color w:val="FF0000"/>
          <w:kern w:val="36"/>
          <w:sz w:val="28"/>
          <w:szCs w:val="28"/>
          <w:lang w:eastAsia="fr-FR"/>
        </w:rPr>
      </w:pPr>
    </w:p>
    <w:p w14:paraId="641A93FA" w14:textId="36113BC1" w:rsidR="00E961C2" w:rsidRPr="00D472DD" w:rsidRDefault="00E961C2" w:rsidP="00D472DD">
      <w:pPr>
        <w:jc w:val="both"/>
        <w:rPr>
          <w:color w:val="000000" w:themeColor="text1"/>
          <w:sz w:val="20"/>
          <w:szCs w:val="20"/>
        </w:rPr>
      </w:pPr>
    </w:p>
    <w:p w14:paraId="06B9622A" w14:textId="77777777" w:rsidR="00D472DD" w:rsidRPr="00D472DD" w:rsidRDefault="00D472DD" w:rsidP="00D472DD">
      <w:pPr>
        <w:jc w:val="both"/>
        <w:rPr>
          <w:rFonts w:ascii="Times New Roman" w:eastAsia="Times New Roman" w:hAnsi="Times New Roman" w:cs="Times New Roman"/>
          <w:color w:val="000000" w:themeColor="text1"/>
          <w:sz w:val="20"/>
          <w:szCs w:val="20"/>
          <w:lang w:eastAsia="fr-FR"/>
        </w:rPr>
      </w:pPr>
      <w:r w:rsidRPr="00D472DD">
        <w:rPr>
          <w:rFonts w:ascii="Arial" w:eastAsia="Times New Roman" w:hAnsi="Arial" w:cs="Arial"/>
          <w:color w:val="000000" w:themeColor="text1"/>
          <w:sz w:val="20"/>
          <w:szCs w:val="20"/>
          <w:lang w:eastAsia="fr-FR"/>
        </w:rPr>
        <w:t xml:space="preserve">La cour administrative d’appel de Versailles vient de donner raison à l’État en jugeant, dans un récent arrêt, qu’une commune ne peut moduler le régime indemnitaire des fonctionnaires, le </w:t>
      </w:r>
      <w:proofErr w:type="spellStart"/>
      <w:r w:rsidRPr="00D472DD">
        <w:rPr>
          <w:rFonts w:ascii="Arial" w:eastAsia="Times New Roman" w:hAnsi="Arial" w:cs="Arial"/>
          <w:color w:val="000000" w:themeColor="text1"/>
          <w:sz w:val="20"/>
          <w:szCs w:val="20"/>
          <w:lang w:eastAsia="fr-FR"/>
        </w:rPr>
        <w:t>Rifseep</w:t>
      </w:r>
      <w:proofErr w:type="spellEnd"/>
      <w:r w:rsidRPr="00D472DD">
        <w:rPr>
          <w:rFonts w:ascii="Arial" w:eastAsia="Times New Roman" w:hAnsi="Arial" w:cs="Arial"/>
          <w:color w:val="000000" w:themeColor="text1"/>
          <w:sz w:val="20"/>
          <w:szCs w:val="20"/>
          <w:lang w:eastAsia="fr-FR"/>
        </w:rPr>
        <w:t>, en fonction de l’assiduité de ses agents. Principe de parité oblige.</w:t>
      </w:r>
    </w:p>
    <w:p w14:paraId="1AF52E9A" w14:textId="77777777" w:rsidR="00D472DD" w:rsidRPr="00D472DD" w:rsidRDefault="00D472DD" w:rsidP="00D472DD">
      <w:pPr>
        <w:pStyle w:val="NormalWeb"/>
        <w:spacing w:before="0" w:beforeAutospacing="0" w:after="0" w:afterAutospacing="0" w:line="450" w:lineRule="atLeast"/>
        <w:jc w:val="both"/>
        <w:rPr>
          <w:rFonts w:ascii="Arial" w:hAnsi="Arial" w:cs="Arial"/>
          <w:color w:val="000000" w:themeColor="text1"/>
          <w:sz w:val="20"/>
          <w:szCs w:val="20"/>
        </w:rPr>
      </w:pPr>
      <w:r w:rsidRPr="00D472DD">
        <w:rPr>
          <w:rFonts w:ascii="Arial" w:hAnsi="Arial" w:cs="Arial"/>
          <w:color w:val="000000" w:themeColor="text1"/>
          <w:sz w:val="20"/>
          <w:szCs w:val="20"/>
        </w:rPr>
        <w:t xml:space="preserve">L’année 2020 aura été riche en jurisprudence concernant le </w:t>
      </w:r>
      <w:proofErr w:type="spellStart"/>
      <w:r w:rsidRPr="00D472DD">
        <w:rPr>
          <w:rFonts w:ascii="Arial" w:hAnsi="Arial" w:cs="Arial"/>
          <w:color w:val="000000" w:themeColor="text1"/>
          <w:sz w:val="20"/>
          <w:szCs w:val="20"/>
        </w:rPr>
        <w:t>Rifseep</w:t>
      </w:r>
      <w:proofErr w:type="spellEnd"/>
      <w:r w:rsidRPr="00D472DD">
        <w:rPr>
          <w:rFonts w:ascii="Arial" w:hAnsi="Arial" w:cs="Arial"/>
          <w:color w:val="000000" w:themeColor="text1"/>
          <w:sz w:val="20"/>
          <w:szCs w:val="20"/>
        </w:rPr>
        <w:t>, le régime indemnitaire des fonctionnaires tenant compte des fonctions, des sujétions, de l’expertise et de l’engagement professionnel. Par un arrêt de novembre dernier, la cour administrative d’appel de Nancy avait pour la première fois ouvert la voie à une appréhension plus libérale du principe de parité entre la fonction publique d’État et la territoriale. L’État se pourvoit toutefois en cassation</w:t>
      </w:r>
      <w:r w:rsidRPr="00D472DD">
        <w:rPr>
          <w:rFonts w:ascii="Arial" w:hAnsi="Arial" w:cs="Arial"/>
          <w:color w:val="4472C4" w:themeColor="accent1"/>
          <w:sz w:val="20"/>
          <w:szCs w:val="20"/>
        </w:rPr>
        <w:t> </w:t>
      </w:r>
      <w:hyperlink r:id="rId5" w:history="1">
        <w:r w:rsidRPr="00D472DD">
          <w:rPr>
            <w:rStyle w:val="Accentuation"/>
            <w:rFonts w:ascii="Arial" w:hAnsi="Arial" w:cs="Arial"/>
            <w:color w:val="4472C4" w:themeColor="accent1"/>
            <w:sz w:val="20"/>
            <w:szCs w:val="20"/>
            <w:bdr w:val="none" w:sz="0" w:space="0" w:color="auto" w:frame="1"/>
          </w:rPr>
          <w:t>[cliquez ici pour consulter notre article sur le sujet]. </w:t>
        </w:r>
      </w:hyperlink>
    </w:p>
    <w:p w14:paraId="4B097F85" w14:textId="77777777" w:rsidR="00D472DD" w:rsidRPr="00D472DD" w:rsidRDefault="00D472DD" w:rsidP="00D472DD">
      <w:pPr>
        <w:pStyle w:val="NormalWeb"/>
        <w:spacing w:before="450" w:beforeAutospacing="0" w:after="0" w:afterAutospacing="0" w:line="450" w:lineRule="atLeast"/>
        <w:jc w:val="both"/>
        <w:rPr>
          <w:rFonts w:ascii="Arial" w:hAnsi="Arial" w:cs="Arial"/>
          <w:color w:val="000000" w:themeColor="text1"/>
          <w:sz w:val="20"/>
          <w:szCs w:val="20"/>
        </w:rPr>
      </w:pPr>
      <w:r w:rsidRPr="00D472DD">
        <w:rPr>
          <w:rFonts w:ascii="Arial" w:hAnsi="Arial" w:cs="Arial"/>
          <w:color w:val="000000" w:themeColor="text1"/>
          <w:sz w:val="20"/>
          <w:szCs w:val="20"/>
        </w:rPr>
        <w:t xml:space="preserve">Quelque temps auparavant, la cour administrative d’appel de Versailles a rendu un arrêt tout aussi important. Passé inaperçu et tout juste repéré par le cabinet </w:t>
      </w:r>
      <w:proofErr w:type="spellStart"/>
      <w:r w:rsidRPr="00D472DD">
        <w:rPr>
          <w:rFonts w:ascii="Arial" w:hAnsi="Arial" w:cs="Arial"/>
          <w:color w:val="000000" w:themeColor="text1"/>
          <w:sz w:val="20"/>
          <w:szCs w:val="20"/>
        </w:rPr>
        <w:t>Landot</w:t>
      </w:r>
      <w:proofErr w:type="spellEnd"/>
      <w:r w:rsidRPr="00D472DD">
        <w:rPr>
          <w:rFonts w:ascii="Arial" w:hAnsi="Arial" w:cs="Arial"/>
          <w:color w:val="000000" w:themeColor="text1"/>
          <w:sz w:val="20"/>
          <w:szCs w:val="20"/>
        </w:rPr>
        <w:t xml:space="preserve"> et associés, cet arrêt est relatif à la modulation de ce </w:t>
      </w:r>
      <w:proofErr w:type="spellStart"/>
      <w:r w:rsidRPr="00D472DD">
        <w:rPr>
          <w:rFonts w:ascii="Arial" w:hAnsi="Arial" w:cs="Arial"/>
          <w:color w:val="000000" w:themeColor="text1"/>
          <w:sz w:val="20"/>
          <w:szCs w:val="20"/>
        </w:rPr>
        <w:t>Rifseep</w:t>
      </w:r>
      <w:proofErr w:type="spellEnd"/>
      <w:r w:rsidRPr="00D472DD">
        <w:rPr>
          <w:rFonts w:ascii="Arial" w:hAnsi="Arial" w:cs="Arial"/>
          <w:color w:val="000000" w:themeColor="text1"/>
          <w:sz w:val="20"/>
          <w:szCs w:val="20"/>
        </w:rPr>
        <w:t xml:space="preserve"> en fonction de l’assiduité des agents. Précisément, il s’agit de la modulation du deuxième volet du régime, le complément indemnitaire annuel (CIA), le premier volet étant, pour rappel, l’indemnité de fonctions de sujétions et d’expertise (IFSE).</w:t>
      </w:r>
    </w:p>
    <w:p w14:paraId="466DE649" w14:textId="77777777" w:rsidR="00D472DD" w:rsidRPr="00D472DD" w:rsidRDefault="00D472DD" w:rsidP="00D472DD">
      <w:pPr>
        <w:pStyle w:val="Titre4"/>
        <w:spacing w:before="600" w:line="480" w:lineRule="atLeast"/>
        <w:jc w:val="both"/>
        <w:rPr>
          <w:rFonts w:ascii="Arial" w:hAnsi="Arial" w:cs="Arial"/>
          <w:color w:val="000000" w:themeColor="text1"/>
          <w:sz w:val="20"/>
          <w:szCs w:val="20"/>
        </w:rPr>
      </w:pPr>
      <w:r w:rsidRPr="00D472DD">
        <w:rPr>
          <w:rFonts w:ascii="Arial" w:hAnsi="Arial" w:cs="Arial"/>
          <w:color w:val="000000" w:themeColor="text1"/>
          <w:sz w:val="20"/>
          <w:szCs w:val="20"/>
        </w:rPr>
        <w:t>Prime à l’assiduité </w:t>
      </w:r>
    </w:p>
    <w:p w14:paraId="0128579D" w14:textId="77777777" w:rsidR="00D472DD" w:rsidRPr="00D472DD" w:rsidRDefault="00D472DD" w:rsidP="00D472DD">
      <w:pPr>
        <w:pStyle w:val="NormalWeb"/>
        <w:spacing w:before="0" w:beforeAutospacing="0" w:after="0" w:afterAutospacing="0" w:line="450" w:lineRule="atLeast"/>
        <w:jc w:val="both"/>
        <w:rPr>
          <w:rFonts w:ascii="Arial" w:hAnsi="Arial" w:cs="Arial"/>
          <w:color w:val="000000" w:themeColor="text1"/>
          <w:sz w:val="20"/>
          <w:szCs w:val="20"/>
        </w:rPr>
      </w:pPr>
      <w:r w:rsidRPr="00D472DD">
        <w:rPr>
          <w:rFonts w:ascii="Arial" w:hAnsi="Arial" w:cs="Arial"/>
          <w:color w:val="000000" w:themeColor="text1"/>
          <w:sz w:val="20"/>
          <w:szCs w:val="20"/>
        </w:rPr>
        <w:t>L’affaire que la cour avait à juger concernait un recours du préfet du Val-d’Oise qui avait fait appel d’un jugement d’octobre 2018 du tribunal administratif de Cergy-Pontoise. Jugement par lequel ce tribunal avait rejeté la demande de ce préfet d’annuler une délibération du conseil municipal d’Argenteuil par laquelle la commune avait prévu une “part annuelle” du CIA </w:t>
      </w:r>
      <w:r w:rsidRPr="00D472DD">
        <w:rPr>
          <w:rStyle w:val="Accentuation"/>
          <w:rFonts w:ascii="Arial" w:hAnsi="Arial" w:cs="Arial"/>
          <w:color w:val="000000" w:themeColor="text1"/>
          <w:sz w:val="20"/>
          <w:szCs w:val="20"/>
          <w:bdr w:val="none" w:sz="0" w:space="0" w:color="auto" w:frame="1"/>
        </w:rPr>
        <w:t>“d’un montant maximal de 500 euros bruts dédiée à la valorisation de l’assiduité”. </w:t>
      </w:r>
    </w:p>
    <w:p w14:paraId="03B5D464" w14:textId="77777777" w:rsidR="00D472DD" w:rsidRPr="00D472DD" w:rsidRDefault="00D472DD" w:rsidP="00D472DD">
      <w:pPr>
        <w:pStyle w:val="NormalWeb"/>
        <w:spacing w:before="450" w:beforeAutospacing="0" w:after="0" w:afterAutospacing="0" w:line="450" w:lineRule="atLeast"/>
        <w:jc w:val="both"/>
        <w:rPr>
          <w:rFonts w:ascii="Arial" w:hAnsi="Arial" w:cs="Arial"/>
          <w:color w:val="000000" w:themeColor="text1"/>
          <w:sz w:val="20"/>
          <w:szCs w:val="20"/>
        </w:rPr>
      </w:pPr>
      <w:r w:rsidRPr="00D472DD">
        <w:rPr>
          <w:rFonts w:ascii="Arial" w:hAnsi="Arial" w:cs="Arial"/>
          <w:color w:val="000000" w:themeColor="text1"/>
          <w:sz w:val="20"/>
          <w:szCs w:val="20"/>
        </w:rPr>
        <w:lastRenderedPageBreak/>
        <w:t>Depuis cette délibération de mars 2018, les agents de la commune ne comptant aucune absence dans l’année se voient ainsi attribuer 100 % de cette somme. Ceux qui comptent une journée d’absence en reçoivent 75 %, ceux qui comptent 2 journées d’absence, 50 % et ceux qui comptent 3 journées d’absence, 25 %. Toute absence supérieure à 3 jours entraîne quant à elle la suppression du versement de cette part du complément indemnitaire.</w:t>
      </w:r>
    </w:p>
    <w:p w14:paraId="71A1B633" w14:textId="77777777" w:rsidR="00D472DD" w:rsidRPr="00D472DD" w:rsidRDefault="00D472DD" w:rsidP="00D472DD">
      <w:pPr>
        <w:pStyle w:val="NormalWeb"/>
        <w:spacing w:before="0" w:beforeAutospacing="0" w:after="0" w:afterAutospacing="0" w:line="450" w:lineRule="atLeast"/>
        <w:jc w:val="both"/>
        <w:rPr>
          <w:rFonts w:ascii="Arial" w:hAnsi="Arial" w:cs="Arial"/>
          <w:color w:val="000000" w:themeColor="text1"/>
          <w:sz w:val="20"/>
          <w:szCs w:val="20"/>
        </w:rPr>
      </w:pPr>
      <w:r w:rsidRPr="00D472DD">
        <w:rPr>
          <w:rFonts w:ascii="Arial" w:hAnsi="Arial" w:cs="Arial"/>
          <w:color w:val="000000" w:themeColor="text1"/>
          <w:sz w:val="20"/>
          <w:szCs w:val="20"/>
        </w:rPr>
        <w:t>À l’appui de son recours en appel, le préfet du Val-d’Oise soutenait que ladite délibération instituait </w:t>
      </w:r>
      <w:r w:rsidRPr="00D472DD">
        <w:rPr>
          <w:rStyle w:val="Accentuation"/>
          <w:rFonts w:ascii="Arial" w:hAnsi="Arial" w:cs="Arial"/>
          <w:color w:val="000000" w:themeColor="text1"/>
          <w:sz w:val="20"/>
          <w:szCs w:val="20"/>
          <w:bdr w:val="none" w:sz="0" w:space="0" w:color="auto" w:frame="1"/>
        </w:rPr>
        <w:t>“un critère unique lié exclusivement à l’assiduité qui n’existe pas pour la fonction publique de l’État” </w:t>
      </w:r>
      <w:r w:rsidRPr="00D472DD">
        <w:rPr>
          <w:rFonts w:ascii="Arial" w:hAnsi="Arial" w:cs="Arial"/>
          <w:color w:val="000000" w:themeColor="text1"/>
          <w:sz w:val="20"/>
          <w:szCs w:val="20"/>
        </w:rPr>
        <w:t>et était ainsi contraire au principe de parité entre l’État et la territoriale. C’est au préfet que la cour administrative d’appel de Versailles vient de donner raison. </w:t>
      </w:r>
    </w:p>
    <w:p w14:paraId="63D7BEDD" w14:textId="77777777" w:rsidR="00D472DD" w:rsidRPr="00D472DD" w:rsidRDefault="00D472DD" w:rsidP="00D472DD">
      <w:pPr>
        <w:pStyle w:val="Titre4"/>
        <w:spacing w:before="600" w:line="480" w:lineRule="atLeast"/>
        <w:jc w:val="both"/>
        <w:rPr>
          <w:rFonts w:ascii="Arial" w:hAnsi="Arial" w:cs="Arial"/>
          <w:color w:val="000000" w:themeColor="text1"/>
          <w:sz w:val="20"/>
          <w:szCs w:val="20"/>
        </w:rPr>
      </w:pPr>
      <w:r w:rsidRPr="00D472DD">
        <w:rPr>
          <w:rFonts w:ascii="Arial" w:hAnsi="Arial" w:cs="Arial"/>
          <w:color w:val="000000" w:themeColor="text1"/>
          <w:sz w:val="20"/>
          <w:szCs w:val="20"/>
        </w:rPr>
        <w:t>Régime plus favorable aux territoriaux</w:t>
      </w:r>
    </w:p>
    <w:p w14:paraId="66C21A4C" w14:textId="77777777" w:rsidR="00D472DD" w:rsidRPr="00D472DD" w:rsidRDefault="00D472DD" w:rsidP="00D472DD">
      <w:pPr>
        <w:pStyle w:val="NormalWeb"/>
        <w:spacing w:before="0" w:beforeAutospacing="0" w:after="0" w:afterAutospacing="0" w:line="450" w:lineRule="atLeast"/>
        <w:jc w:val="both"/>
        <w:rPr>
          <w:rFonts w:ascii="Arial" w:hAnsi="Arial" w:cs="Arial"/>
          <w:color w:val="000000" w:themeColor="text1"/>
          <w:sz w:val="20"/>
          <w:szCs w:val="20"/>
        </w:rPr>
      </w:pPr>
      <w:r w:rsidRPr="00D472DD">
        <w:rPr>
          <w:rStyle w:val="Accentuation"/>
          <w:rFonts w:ascii="Arial" w:hAnsi="Arial" w:cs="Arial"/>
          <w:color w:val="000000" w:themeColor="text1"/>
          <w:sz w:val="20"/>
          <w:szCs w:val="20"/>
          <w:bdr w:val="none" w:sz="0" w:space="0" w:color="auto" w:frame="1"/>
        </w:rPr>
        <w:t>“En adoptant ce critère d’absence”, </w:t>
      </w:r>
      <w:r w:rsidRPr="00D472DD">
        <w:rPr>
          <w:rFonts w:ascii="Arial" w:hAnsi="Arial" w:cs="Arial"/>
          <w:color w:val="000000" w:themeColor="text1"/>
          <w:sz w:val="20"/>
          <w:szCs w:val="20"/>
        </w:rPr>
        <w:t>souligne-t-elle ainsi dans son arrêt, la commune d’Argenteuil </w:t>
      </w:r>
      <w:r w:rsidRPr="00D472DD">
        <w:rPr>
          <w:rStyle w:val="Accentuation"/>
          <w:rFonts w:ascii="Arial" w:hAnsi="Arial" w:cs="Arial"/>
          <w:color w:val="000000" w:themeColor="text1"/>
          <w:sz w:val="20"/>
          <w:szCs w:val="20"/>
          <w:bdr w:val="none" w:sz="0" w:space="0" w:color="auto" w:frame="1"/>
        </w:rPr>
        <w:t>“doit être regardée comme ayant instauré une prime dont ne bénéficient pas les fonctionnaires de l’État et méconnu, de ce fait, les dispositions”</w:t>
      </w:r>
      <w:r w:rsidRPr="00D472DD">
        <w:rPr>
          <w:rFonts w:ascii="Arial" w:hAnsi="Arial" w:cs="Arial"/>
          <w:color w:val="000000" w:themeColor="text1"/>
          <w:sz w:val="20"/>
          <w:szCs w:val="20"/>
        </w:rPr>
        <w:t> réglementaires relatives à ce principe de parité. </w:t>
      </w:r>
      <w:r w:rsidRPr="00D472DD">
        <w:rPr>
          <w:rStyle w:val="Accentuation"/>
          <w:rFonts w:ascii="Arial" w:hAnsi="Arial" w:cs="Arial"/>
          <w:color w:val="000000" w:themeColor="text1"/>
          <w:sz w:val="20"/>
          <w:szCs w:val="20"/>
          <w:bdr w:val="none" w:sz="0" w:space="0" w:color="auto" w:frame="1"/>
        </w:rPr>
        <w:t>“Le régime indemnitaire fixé par les assemblées délibérantes des collectivités territoriales et les conseils d’administration des établissements publics locaux pour les différentes catégories de fonctionnaires territoriaux ne doit pas être plus favorable que celui dont bénéficient les fonctionnaires de l’État exerçant des fonctions équivalentes”</w:t>
      </w:r>
      <w:r w:rsidRPr="00D472DD">
        <w:rPr>
          <w:rFonts w:ascii="Arial" w:hAnsi="Arial" w:cs="Arial"/>
          <w:color w:val="000000" w:themeColor="text1"/>
          <w:sz w:val="20"/>
          <w:szCs w:val="20"/>
        </w:rPr>
        <w:t>, stipulent précisément ces dispositions.</w:t>
      </w:r>
    </w:p>
    <w:p w14:paraId="3F77B2AC" w14:textId="77777777" w:rsidR="00D472DD" w:rsidRPr="00D472DD" w:rsidRDefault="00D472DD" w:rsidP="00D472DD">
      <w:pPr>
        <w:pStyle w:val="NormalWeb"/>
        <w:spacing w:before="0" w:beforeAutospacing="0" w:after="0" w:afterAutospacing="0" w:line="450" w:lineRule="atLeast"/>
        <w:jc w:val="both"/>
        <w:rPr>
          <w:rFonts w:ascii="Arial" w:hAnsi="Arial" w:cs="Arial"/>
          <w:color w:val="000000" w:themeColor="text1"/>
          <w:sz w:val="20"/>
          <w:szCs w:val="20"/>
        </w:rPr>
      </w:pPr>
      <w:r w:rsidRPr="00D472DD">
        <w:rPr>
          <w:rFonts w:ascii="Arial" w:hAnsi="Arial" w:cs="Arial"/>
          <w:color w:val="000000" w:themeColor="text1"/>
          <w:sz w:val="20"/>
          <w:szCs w:val="20"/>
        </w:rPr>
        <w:t>Par suite, selon la cour administrative d’appel, le préfet du Val-d’Oise est</w:t>
      </w:r>
      <w:r w:rsidRPr="00D472DD">
        <w:rPr>
          <w:rStyle w:val="Accentuation"/>
          <w:rFonts w:ascii="Arial" w:hAnsi="Arial" w:cs="Arial"/>
          <w:color w:val="000000" w:themeColor="text1"/>
          <w:sz w:val="20"/>
          <w:szCs w:val="20"/>
          <w:bdr w:val="none" w:sz="0" w:space="0" w:color="auto" w:frame="1"/>
        </w:rPr>
        <w:t> “fondé à soutenir” </w:t>
      </w:r>
      <w:r w:rsidRPr="00D472DD">
        <w:rPr>
          <w:rFonts w:ascii="Arial" w:hAnsi="Arial" w:cs="Arial"/>
          <w:color w:val="000000" w:themeColor="text1"/>
          <w:sz w:val="20"/>
          <w:szCs w:val="20"/>
        </w:rPr>
        <w:t>que la part du CIA de la commune d’Argenteuil dédiée à la valorisation de l’assiduité est illégale et que </w:t>
      </w:r>
      <w:r w:rsidRPr="00D472DD">
        <w:rPr>
          <w:rStyle w:val="Accentuation"/>
          <w:rFonts w:ascii="Arial" w:hAnsi="Arial" w:cs="Arial"/>
          <w:color w:val="000000" w:themeColor="text1"/>
          <w:sz w:val="20"/>
          <w:szCs w:val="20"/>
          <w:bdr w:val="none" w:sz="0" w:space="0" w:color="auto" w:frame="1"/>
        </w:rPr>
        <w:t>“c’est à tort que” </w:t>
      </w:r>
      <w:r w:rsidRPr="00D472DD">
        <w:rPr>
          <w:rFonts w:ascii="Arial" w:hAnsi="Arial" w:cs="Arial"/>
          <w:color w:val="000000" w:themeColor="text1"/>
          <w:sz w:val="20"/>
          <w:szCs w:val="20"/>
        </w:rPr>
        <w:t>le tribunal administratif de Cergy-Pontoise a rejeté sa demande en 2018.</w:t>
      </w:r>
    </w:p>
    <w:p w14:paraId="6E0E3AE3" w14:textId="7C4C0FA0" w:rsidR="00D472DD" w:rsidRPr="00D472DD" w:rsidRDefault="00D472DD" w:rsidP="00D472DD">
      <w:pPr>
        <w:pStyle w:val="NormalWeb"/>
        <w:spacing w:before="0" w:beforeAutospacing="0" w:after="0" w:afterAutospacing="0" w:line="450" w:lineRule="atLeast"/>
        <w:jc w:val="both"/>
        <w:rPr>
          <w:rFonts w:ascii="Arial" w:hAnsi="Arial" w:cs="Arial"/>
          <w:color w:val="000000" w:themeColor="text1"/>
          <w:sz w:val="20"/>
          <w:szCs w:val="20"/>
        </w:rPr>
      </w:pPr>
      <w:r w:rsidRPr="00D472DD">
        <w:rPr>
          <w:rStyle w:val="Accentuation"/>
          <w:rFonts w:ascii="Arial" w:hAnsi="Arial" w:cs="Arial"/>
          <w:color w:val="000000" w:themeColor="text1"/>
          <w:sz w:val="20"/>
          <w:szCs w:val="20"/>
          <w:bdr w:val="none" w:sz="0" w:space="0" w:color="auto" w:frame="1"/>
        </w:rPr>
        <w:t>“Si aucune disposition législative ou réglementaire ne fixe les conditions de versement des primes et indemnités en cas d’indisponibilité physique des fonctionnaires territoriaux, il ressort des textes que l’organe délibérant peut décider de minorer une partie du régime indemnitaire en cas d’absence de l’agent, critère pris en compte pour évaluer l’engagement professionnel de l’agent, et ainsi déterminer le montant du CIA”, </w:t>
      </w:r>
      <w:r w:rsidRPr="00D472DD">
        <w:rPr>
          <w:rFonts w:ascii="Arial" w:hAnsi="Arial" w:cs="Arial"/>
          <w:color w:val="000000" w:themeColor="text1"/>
          <w:sz w:val="20"/>
          <w:szCs w:val="20"/>
        </w:rPr>
        <w:t>estimait le tribunal dans son jugement. Faux, donc, selon la cour administrative d’appel de Versailles, qui vient d’annuler ce jugement ainsi que la délibération de la commune d’Argenteuil </w:t>
      </w:r>
      <w:hyperlink r:id="rId6" w:history="1">
        <w:r w:rsidRPr="00D472DD">
          <w:rPr>
            <w:rStyle w:val="Accentuation"/>
            <w:rFonts w:ascii="Arial" w:hAnsi="Arial" w:cs="Arial"/>
            <w:color w:val="4472C4" w:themeColor="accent1"/>
            <w:sz w:val="20"/>
            <w:szCs w:val="20"/>
            <w:bdr w:val="none" w:sz="0" w:space="0" w:color="auto" w:frame="1"/>
          </w:rPr>
          <w:t>[cliquez ici pour consulter son arrêt].</w:t>
        </w:r>
        <w:r w:rsidRPr="00D472DD">
          <w:rPr>
            <w:rStyle w:val="Accentuation"/>
            <w:rFonts w:ascii="Arial" w:hAnsi="Arial" w:cs="Arial"/>
            <w:color w:val="000000" w:themeColor="text1"/>
            <w:sz w:val="20"/>
            <w:szCs w:val="20"/>
            <w:bdr w:val="none" w:sz="0" w:space="0" w:color="auto" w:frame="1"/>
          </w:rPr>
          <w:t> </w:t>
        </w:r>
      </w:hyperlink>
    </w:p>
    <w:p w14:paraId="0D0075B9" w14:textId="3F1D5264" w:rsidR="00D472DD" w:rsidRPr="00D472DD" w:rsidRDefault="00D472DD" w:rsidP="00D472DD">
      <w:pPr>
        <w:pStyle w:val="NormalWeb"/>
        <w:spacing w:before="0" w:beforeAutospacing="0" w:after="0" w:afterAutospacing="0" w:line="450" w:lineRule="atLeast"/>
        <w:jc w:val="right"/>
        <w:rPr>
          <w:rFonts w:ascii="Arial" w:hAnsi="Arial" w:cs="Arial"/>
          <w:i/>
          <w:iCs/>
          <w:color w:val="000000" w:themeColor="text1"/>
          <w:sz w:val="16"/>
          <w:szCs w:val="16"/>
        </w:rPr>
      </w:pPr>
      <w:r w:rsidRPr="00D472DD">
        <w:rPr>
          <w:rFonts w:ascii="Arial" w:hAnsi="Arial" w:cs="Arial"/>
          <w:i/>
          <w:iCs/>
          <w:color w:val="000000" w:themeColor="text1"/>
          <w:sz w:val="16"/>
          <w:szCs w:val="16"/>
        </w:rPr>
        <w:t>9 février 2021</w:t>
      </w:r>
    </w:p>
    <w:p w14:paraId="62EE9CB8" w14:textId="35DE06AA" w:rsidR="00D472DD" w:rsidRPr="00D472DD" w:rsidRDefault="00D472DD" w:rsidP="00D472DD">
      <w:pPr>
        <w:pStyle w:val="NormalWeb"/>
        <w:spacing w:before="0" w:beforeAutospacing="0" w:after="0" w:afterAutospacing="0" w:line="450" w:lineRule="atLeast"/>
        <w:jc w:val="right"/>
        <w:rPr>
          <w:rFonts w:ascii="Arial" w:hAnsi="Arial" w:cs="Arial"/>
          <w:i/>
          <w:iCs/>
          <w:color w:val="000000" w:themeColor="text1"/>
          <w:sz w:val="16"/>
          <w:szCs w:val="16"/>
        </w:rPr>
      </w:pPr>
      <w:r w:rsidRPr="00D472DD">
        <w:rPr>
          <w:rFonts w:ascii="Arial" w:hAnsi="Arial" w:cs="Arial"/>
          <w:i/>
          <w:iCs/>
          <w:color w:val="000000" w:themeColor="text1"/>
          <w:sz w:val="16"/>
          <w:szCs w:val="16"/>
        </w:rPr>
        <w:t>www.acteurspublics.fr</w:t>
      </w:r>
    </w:p>
    <w:p w14:paraId="4E2E2C43" w14:textId="77777777" w:rsidR="00D472DD" w:rsidRDefault="00D472DD"/>
    <w:sectPr w:rsidR="00D472DD" w:rsidSect="001654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268D6"/>
    <w:multiLevelType w:val="multilevel"/>
    <w:tmpl w:val="2D18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DD"/>
    <w:rsid w:val="00165419"/>
    <w:rsid w:val="00D472DD"/>
    <w:rsid w:val="00E9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1FA9"/>
  <w15:chartTrackingRefBased/>
  <w15:docId w15:val="{4ADB4CF1-B514-DA46-9B6C-EEF2956B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472D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D472D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D472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72D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D472DD"/>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D472D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D472DD"/>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472DD"/>
    <w:rPr>
      <w:color w:val="0000FF"/>
      <w:u w:val="single"/>
    </w:rPr>
  </w:style>
  <w:style w:type="character" w:styleId="Accentuation">
    <w:name w:val="Emphasis"/>
    <w:basedOn w:val="Policepardfaut"/>
    <w:uiPriority w:val="20"/>
    <w:qFormat/>
    <w:rsid w:val="00D472DD"/>
    <w:rPr>
      <w:i/>
      <w:iCs/>
    </w:rPr>
  </w:style>
  <w:style w:type="paragraph" w:customStyle="1" w:styleId="last-newstitle">
    <w:name w:val="last-news__title"/>
    <w:basedOn w:val="Normal"/>
    <w:rsid w:val="00D472DD"/>
    <w:pPr>
      <w:spacing w:before="100" w:beforeAutospacing="1" w:after="100" w:afterAutospacing="1"/>
    </w:pPr>
    <w:rPr>
      <w:rFonts w:ascii="Times New Roman" w:eastAsia="Times New Roman" w:hAnsi="Times New Roman" w:cs="Times New Roman"/>
      <w:lang w:eastAsia="fr-FR"/>
    </w:rPr>
  </w:style>
  <w:style w:type="paragraph" w:customStyle="1" w:styleId="last-newsitem">
    <w:name w:val="last-news__item"/>
    <w:basedOn w:val="Normal"/>
    <w:rsid w:val="00D472DD"/>
    <w:pPr>
      <w:spacing w:before="100" w:beforeAutospacing="1" w:after="100" w:afterAutospacing="1"/>
    </w:pPr>
    <w:rPr>
      <w:rFonts w:ascii="Times New Roman" w:eastAsia="Times New Roman" w:hAnsi="Times New Roman" w:cs="Times New Roman"/>
      <w:lang w:eastAsia="fr-FR"/>
    </w:rPr>
  </w:style>
  <w:style w:type="character" w:customStyle="1" w:styleId="date">
    <w:name w:val="date"/>
    <w:basedOn w:val="Policepardfaut"/>
    <w:rsid w:val="00D472DD"/>
  </w:style>
  <w:style w:type="character" w:styleId="lev">
    <w:name w:val="Strong"/>
    <w:basedOn w:val="Policepardfaut"/>
    <w:uiPriority w:val="22"/>
    <w:qFormat/>
    <w:rsid w:val="00D47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7471">
      <w:bodyDiv w:val="1"/>
      <w:marLeft w:val="0"/>
      <w:marRight w:val="0"/>
      <w:marTop w:val="0"/>
      <w:marBottom w:val="0"/>
      <w:divBdr>
        <w:top w:val="none" w:sz="0" w:space="0" w:color="auto"/>
        <w:left w:val="none" w:sz="0" w:space="0" w:color="auto"/>
        <w:bottom w:val="none" w:sz="0" w:space="0" w:color="auto"/>
        <w:right w:val="none" w:sz="0" w:space="0" w:color="auto"/>
      </w:divBdr>
      <w:divsChild>
        <w:div w:id="2073118524">
          <w:marLeft w:val="0"/>
          <w:marRight w:val="0"/>
          <w:marTop w:val="0"/>
          <w:marBottom w:val="0"/>
          <w:divBdr>
            <w:top w:val="none" w:sz="0" w:space="0" w:color="auto"/>
            <w:left w:val="none" w:sz="0" w:space="0" w:color="auto"/>
            <w:bottom w:val="none" w:sz="0" w:space="0" w:color="auto"/>
            <w:right w:val="none" w:sz="0" w:space="0" w:color="auto"/>
          </w:divBdr>
          <w:divsChild>
            <w:div w:id="1170028421">
              <w:marLeft w:val="-225"/>
              <w:marRight w:val="-225"/>
              <w:marTop w:val="0"/>
              <w:marBottom w:val="0"/>
              <w:divBdr>
                <w:top w:val="none" w:sz="0" w:space="0" w:color="auto"/>
                <w:left w:val="none" w:sz="0" w:space="0" w:color="auto"/>
                <w:bottom w:val="none" w:sz="0" w:space="0" w:color="auto"/>
                <w:right w:val="none" w:sz="0" w:space="0" w:color="auto"/>
              </w:divBdr>
              <w:divsChild>
                <w:div w:id="1976374644">
                  <w:marLeft w:val="0"/>
                  <w:marRight w:val="0"/>
                  <w:marTop w:val="0"/>
                  <w:marBottom w:val="0"/>
                  <w:divBdr>
                    <w:top w:val="none" w:sz="0" w:space="0" w:color="auto"/>
                    <w:left w:val="none" w:sz="0" w:space="0" w:color="auto"/>
                    <w:bottom w:val="none" w:sz="0" w:space="0" w:color="auto"/>
                    <w:right w:val="none" w:sz="0" w:space="0" w:color="auto"/>
                  </w:divBdr>
                  <w:divsChild>
                    <w:div w:id="1475952364">
                      <w:marLeft w:val="0"/>
                      <w:marRight w:val="0"/>
                      <w:marTop w:val="750"/>
                      <w:marBottom w:val="0"/>
                      <w:divBdr>
                        <w:top w:val="none" w:sz="0" w:space="0" w:color="auto"/>
                        <w:left w:val="none" w:sz="0" w:space="0" w:color="auto"/>
                        <w:bottom w:val="none" w:sz="0" w:space="0" w:color="auto"/>
                        <w:right w:val="none" w:sz="0" w:space="0" w:color="auto"/>
                      </w:divBdr>
                    </w:div>
                  </w:divsChild>
                </w:div>
                <w:div w:id="1148085123">
                  <w:marLeft w:val="0"/>
                  <w:marRight w:val="0"/>
                  <w:marTop w:val="0"/>
                  <w:marBottom w:val="0"/>
                  <w:divBdr>
                    <w:top w:val="none" w:sz="0" w:space="0" w:color="auto"/>
                    <w:left w:val="none" w:sz="0" w:space="0" w:color="auto"/>
                    <w:bottom w:val="none" w:sz="0" w:space="0" w:color="auto"/>
                    <w:right w:val="none" w:sz="0" w:space="0" w:color="auto"/>
                  </w:divBdr>
                  <w:divsChild>
                    <w:div w:id="1450926522">
                      <w:marLeft w:val="0"/>
                      <w:marRight w:val="0"/>
                      <w:marTop w:val="0"/>
                      <w:marBottom w:val="0"/>
                      <w:divBdr>
                        <w:top w:val="none" w:sz="0" w:space="0" w:color="auto"/>
                        <w:left w:val="none" w:sz="0" w:space="0" w:color="auto"/>
                        <w:bottom w:val="none" w:sz="0" w:space="0" w:color="auto"/>
                        <w:right w:val="none" w:sz="0" w:space="0" w:color="auto"/>
                      </w:divBdr>
                      <w:divsChild>
                        <w:div w:id="120073895">
                          <w:marLeft w:val="0"/>
                          <w:marRight w:val="0"/>
                          <w:marTop w:val="750"/>
                          <w:marBottom w:val="750"/>
                          <w:divBdr>
                            <w:top w:val="single" w:sz="6" w:space="0" w:color="DEDEDE"/>
                            <w:left w:val="single" w:sz="6" w:space="0" w:color="DEDEDE"/>
                            <w:bottom w:val="single" w:sz="6" w:space="0" w:color="DEDEDE"/>
                            <w:right w:val="single" w:sz="6" w:space="0" w:color="DEDEDE"/>
                          </w:divBdr>
                          <w:divsChild>
                            <w:div w:id="1473719794">
                              <w:marLeft w:val="0"/>
                              <w:marRight w:val="0"/>
                              <w:marTop w:val="0"/>
                              <w:marBottom w:val="120"/>
                              <w:divBdr>
                                <w:top w:val="none" w:sz="0" w:space="0" w:color="auto"/>
                                <w:left w:val="none" w:sz="0" w:space="0" w:color="auto"/>
                                <w:bottom w:val="none" w:sz="0" w:space="0" w:color="auto"/>
                                <w:right w:val="none" w:sz="0" w:space="0" w:color="auto"/>
                              </w:divBdr>
                            </w:div>
                            <w:div w:id="825828391">
                              <w:marLeft w:val="0"/>
                              <w:marRight w:val="0"/>
                              <w:marTop w:val="0"/>
                              <w:marBottom w:val="120"/>
                              <w:divBdr>
                                <w:top w:val="none" w:sz="0" w:space="0" w:color="auto"/>
                                <w:left w:val="none" w:sz="0" w:space="0" w:color="auto"/>
                                <w:bottom w:val="none" w:sz="0" w:space="0" w:color="auto"/>
                                <w:right w:val="none" w:sz="0" w:space="0" w:color="auto"/>
                              </w:divBdr>
                            </w:div>
                            <w:div w:id="1920089947">
                              <w:marLeft w:val="0"/>
                              <w:marRight w:val="0"/>
                              <w:marTop w:val="0"/>
                              <w:marBottom w:val="120"/>
                              <w:divBdr>
                                <w:top w:val="none" w:sz="0" w:space="0" w:color="auto"/>
                                <w:left w:val="none" w:sz="0" w:space="0" w:color="auto"/>
                                <w:bottom w:val="none" w:sz="0" w:space="0" w:color="auto"/>
                                <w:right w:val="none" w:sz="0" w:space="0" w:color="auto"/>
                              </w:divBdr>
                            </w:div>
                            <w:div w:id="263461253">
                              <w:marLeft w:val="0"/>
                              <w:marRight w:val="0"/>
                              <w:marTop w:val="0"/>
                              <w:marBottom w:val="120"/>
                              <w:divBdr>
                                <w:top w:val="none" w:sz="0" w:space="0" w:color="auto"/>
                                <w:left w:val="none" w:sz="0" w:space="0" w:color="auto"/>
                                <w:bottom w:val="none" w:sz="0" w:space="0" w:color="auto"/>
                                <w:right w:val="none" w:sz="0" w:space="0" w:color="auto"/>
                              </w:divBdr>
                            </w:div>
                            <w:div w:id="81269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0088397">
          <w:marLeft w:val="-225"/>
          <w:marRight w:val="-225"/>
          <w:marTop w:val="0"/>
          <w:marBottom w:val="0"/>
          <w:divBdr>
            <w:top w:val="none" w:sz="0" w:space="0" w:color="auto"/>
            <w:left w:val="none" w:sz="0" w:space="0" w:color="auto"/>
            <w:bottom w:val="none" w:sz="0" w:space="0" w:color="auto"/>
            <w:right w:val="none" w:sz="0" w:space="0" w:color="auto"/>
          </w:divBdr>
          <w:divsChild>
            <w:div w:id="2113864365">
              <w:marLeft w:val="0"/>
              <w:marRight w:val="0"/>
              <w:marTop w:val="0"/>
              <w:marBottom w:val="0"/>
              <w:divBdr>
                <w:top w:val="none" w:sz="0" w:space="0" w:color="auto"/>
                <w:left w:val="none" w:sz="0" w:space="0" w:color="auto"/>
                <w:bottom w:val="none" w:sz="0" w:space="0" w:color="auto"/>
                <w:right w:val="none" w:sz="0" w:space="0" w:color="auto"/>
              </w:divBdr>
              <w:divsChild>
                <w:div w:id="1592741380">
                  <w:marLeft w:val="0"/>
                  <w:marRight w:val="0"/>
                  <w:marTop w:val="405"/>
                  <w:marBottom w:val="0"/>
                  <w:divBdr>
                    <w:top w:val="none" w:sz="0" w:space="0" w:color="auto"/>
                    <w:left w:val="none" w:sz="0" w:space="0" w:color="auto"/>
                    <w:bottom w:val="none" w:sz="0" w:space="0" w:color="auto"/>
                    <w:right w:val="none" w:sz="0" w:space="0" w:color="auto"/>
                  </w:divBdr>
                  <w:divsChild>
                    <w:div w:id="623122813">
                      <w:marLeft w:val="135"/>
                      <w:marRight w:val="0"/>
                      <w:marTop w:val="30"/>
                      <w:marBottom w:val="0"/>
                      <w:divBdr>
                        <w:top w:val="none" w:sz="0" w:space="0" w:color="auto"/>
                        <w:left w:val="none" w:sz="0" w:space="0" w:color="auto"/>
                        <w:bottom w:val="none" w:sz="0" w:space="0" w:color="auto"/>
                        <w:right w:val="none" w:sz="0" w:space="0" w:color="auto"/>
                      </w:divBdr>
                      <w:divsChild>
                        <w:div w:id="1860503168">
                          <w:marLeft w:val="0"/>
                          <w:marRight w:val="0"/>
                          <w:marTop w:val="120"/>
                          <w:marBottom w:val="0"/>
                          <w:divBdr>
                            <w:top w:val="none" w:sz="0" w:space="0" w:color="auto"/>
                            <w:left w:val="none" w:sz="0" w:space="0" w:color="auto"/>
                            <w:bottom w:val="none" w:sz="0" w:space="0" w:color="auto"/>
                            <w:right w:val="none" w:sz="0" w:space="0" w:color="auto"/>
                          </w:divBdr>
                        </w:div>
                        <w:div w:id="1598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711355">
      <w:bodyDiv w:val="1"/>
      <w:marLeft w:val="0"/>
      <w:marRight w:val="0"/>
      <w:marTop w:val="0"/>
      <w:marBottom w:val="0"/>
      <w:divBdr>
        <w:top w:val="none" w:sz="0" w:space="0" w:color="auto"/>
        <w:left w:val="none" w:sz="0" w:space="0" w:color="auto"/>
        <w:bottom w:val="none" w:sz="0" w:space="0" w:color="auto"/>
        <w:right w:val="none" w:sz="0" w:space="0" w:color="auto"/>
      </w:divBdr>
    </w:div>
    <w:div w:id="14079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ceta/id/CETATEXT000042325025?juridiction=CONSEIL_ETAT&amp;juridiction=COURS_APPEL&amp;juridiction=TRIBUNAL_ADMINISTATIF&amp;juridiction=TRIBUNAL_CONFLIT&amp;page=1&amp;pageSize=10&amp;query=18VE04033&amp;searchField=ALL&amp;searchType=ALL&amp;sortValue=DATE_DESC&amp;tab_selection=cetat" TargetMode="External"/><Relationship Id="rId5" Type="http://schemas.openxmlformats.org/officeDocument/2006/relationships/hyperlink" Target="https://www.acteurspublics.fr/articles/primes-vers-une-apprehension-plus-liberale-du-principe-de-parite-entre-etat-et-territoria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4068</Characters>
  <Application>Microsoft Office Word</Application>
  <DocSecurity>0</DocSecurity>
  <Lines>33</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KOTTELAT</dc:creator>
  <cp:keywords/>
  <dc:description/>
  <cp:lastModifiedBy>Yves KOTTELAT</cp:lastModifiedBy>
  <cp:revision>1</cp:revision>
  <dcterms:created xsi:type="dcterms:W3CDTF">2021-02-10T15:17:00Z</dcterms:created>
  <dcterms:modified xsi:type="dcterms:W3CDTF">2021-02-10T15:22:00Z</dcterms:modified>
</cp:coreProperties>
</file>